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AGAMA ISLAM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ILMU AL-QURAN DAN TAFSIR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Metode-Metode Terapi Qur'ani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6 - A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ABBEL SAKTYANUGRAHA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LUTHFI ILMAYA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AHMAD RIFQI FUADI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MUSLICHAH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MOKHAMMAD SAIFUDDIN AZZUHRI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MITA EMIL MASHLUHAH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SYAUKUL ULA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WIDAD FATIN HANIFAH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RIF'ATUL WARDAH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AMANDA RIZQIYATUL FAUZIYAH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HENI PUJI LESTARI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NADYA RAHMA ZUBAIDI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 HAMIMAH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FITRIYATUL LAILIYAH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FINA NUR JANNAH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NAF'AN SALIM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FITRI AL MUZAKKI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NABELLA DELIANA YUNITA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LAILATUL MAHFUDZOH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YUSUF ASSAKAKY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BASYAR ANNUHA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FADILATUL ILMI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WAHYU GILDIMAS ALFIAN SODRI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KGS MUHAMMAD ZAKI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MUHAMMD SHOFI YULLOH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FIRNANDA ANGGRAENI MAGHFIROH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ALFIA NUR CHUSNA Q.A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NOR CHAMIDA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MUFID KHOLILULLAH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FAJRUL FALAH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23-07-29 12:47:20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